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sz w:val="36"/>
          <w:szCs w:val="27"/>
          <w:highlight w:val="white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  <w:highlight w:val="white"/>
          <w:lang w:eastAsia="ru-RU"/>
        </w:rPr>
        <w:t xml:space="preserve">Проект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sz w:val="28"/>
          <w:szCs w:val="28"/>
          <w:highlight w:val="white"/>
          <w:lang w:eastAsia="ru-RU"/>
        </w:rPr>
        <w:t xml:space="preserve">ПРАВИТЕЛЬСТВО ЕВРЕЙСКОЙ АВТОНОМНОЙ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highlight w:val="white"/>
          <w:lang w:eastAsia="ru-RU"/>
        </w:rPr>
        <w:t xml:space="preserve">ПОСТАНОВЛЕНИЕ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___________                                                                                          № ________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г. Биробиджан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rotation:0;" coordorigin="21,38" coordsize="2,1">
                <v:line id="shape 1" o:spid="_x0000_s1" style="position:absolute;left:0;text-align:left;z-index:524288;visibility:visible;" from="23.0pt,21.6pt" to="37.4pt,28.8pt" filled="f" strokecolor="#000000">
                  <w10:wrap type="topAndBottom"/>
                </v:line>
                <v:line id="shape 2" o:spid="_x0000_s2" style="position:absolute;left:0;text-align:left;z-index:524288;visibility:visible;" from="23.0pt,21.6pt" to="37.4pt,28.8pt" filled="f" strokecolor="#000000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rotation:0;" coordorigin="57,38" coordsize="2,1">
                <v:line id="shape 4" o:spid="_x0000_s4" style="position:absolute;left:0;text-align:left;z-index:251658241;visibility:visible;" from="195.8pt,21.6pt" to="210.2pt,28.8pt" filled="f" strokecolor="#000000">
                  <w10:wrap type="topAndBottom"/>
                </v:line>
                <v:line id="shape 5" o:spid="_x0000_s5" style="position:absolute;left:0;text-align:left;z-index:251658241;visibility:visible;" from="195.8pt,21.6pt" to="210.2pt,28.8pt" filled="f" strokecolor="#000000"/>
              </v:group>
            </w:pict>
          </mc:Fallback>
        </mc:AlternateConten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Порядок предоставления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оциальной выплаты на приобретение жилого помещения на территории Еврейской автономной области в собственность лицам, которые относились к категории детей-сирот и детей, оставшихся без попечения родителей,                        лиц из числа детей-сирот и 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етей, оставшихся без попечения родителей, подлежащим обеспечению жилыми помещениями по договорам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30.12.20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 №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-пп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   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ПОСТАНОВЛЯЕТ:</w:t>
      </w:r>
      <w:r>
        <w:rPr>
          <w:highlight w:val="white"/>
        </w:rPr>
      </w:r>
      <w:r>
        <w:rPr>
          <w:highlight w:val="white"/>
        </w:rPr>
      </w:r>
    </w:p>
    <w:p>
      <w:pPr>
        <w:pStyle w:val="912"/>
        <w:numPr>
          <w:ilvl w:val="0"/>
          <w:numId w:val="1"/>
        </w:numPr>
        <w:contextualSpacing w:val="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оциальной выплаты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      на приобретение жилого помещения на территории Еврейской автономной области в собственность лицам, которые относились к категории детей-сирот и детей, оставшихся без попечения родителей, лиц из числа детей-сирот                              и 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етей, оставшихся без попечения родителей, подлежащим обеспечению жилыми помещениями по договорам найма специализированных                                    жилых помещений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30.12.20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 № 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-пп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оциальной выплаты на приобретение жилого поме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щения              на территории Еврейской автономной области в собственность                                  лицам, которые относились к категории детей-сирот и детей, оставшихся                       без попечения родителей, лиц из числа детей-сирот и 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етей, оставшихся                        без попечения родителей, подлежащим обеспечению жилыми помещениями по договорам найма специализированных жилых помещений»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следующие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и дополнени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пункте 2: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подпункте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«е» слова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о прекращении уголовного преследования в отношении заявителя по реабилитирующим основаниям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исключить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под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 «и» дополнить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(за исключением заявителя, принимающего (принимавшего) участие в специальной военной операции,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при отсутствии в отношении него вступившего в законную силу                           решения суда о предоставлении ему жилого помещения)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под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 «л» дополнить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словами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(за исключением заявителя, принима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ющего (принимавшего)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в под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пункте «м»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слова «заявителя родительских прав (ограничении родительских прав)» заменить словами «родительских прав (ограничении родительских прав) заявителя»;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дополнить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под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пунктом «о»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о) сведения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 отсутствии в отношении заявителя, принимающего (принимавшего) участие в специальной военной операции, вступившего                           в законную силу решения суда о предоставлении ему жилого помещения.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1.2.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4: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«е»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«м» пункта»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          словами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 «е»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«м»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пункта»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дополнить абзацами третьим и четвертым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 случае если в течение десяти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 поступления                           от заявителя документов (сведений), предусмотренных пунктом 3 настоящего Порядка, в департамент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поступили документы (сведения), предусмотренные подпунктами «в»,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«д» (в части сведений о регистрации заявителя в течение не менее двенадцат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месяцев до дня обращения                                  за предоставлением социальной выплаты в налоговом органе в качестве индивидуального предпринимателя либо плательщика налога                                           на профессиональный доход), «е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 «ж», «з» и «л» пункта 2                                       настоящего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запрашиваемые в порядке межведомственного информационн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 взаимодействия, принятие одного из решений,                          указанных в пункте 5 настоящего Порядка, приостанавливается                                         до получения всех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но не более чем                                                   на двадцать рабочих дней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дня поступления от заявителя                                 документов (сведений), предусмотренных пунктом 3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Департамент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письменное уведомление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приостановлении принятия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одного из решений, указанных в пункте 5 настоящего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двух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рабочих дней со дня принятия                            такого решения с указанием оснований приостановления.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м»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пункта» заменить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                        словами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«м»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пункта»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В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абзаце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третьем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пункта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заявлений о выдаче сертификата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заменить словами «заявлений о предоставлении социальной выплаты».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В пункте 10: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0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подпункт «б»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дополнить словами «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(договор купли-продажи                                жилого помещения с отсрочкой платежа), на которое в установленном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законодательством Российской Федерации порядке зарегистрирован                              переход права собственности к заявителю, в котором указаны                            реквизиты расчетного счета продавца, сертификата, размер социальной выплаты 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определено, что оплата жилого помещения осуществляется                              за счет средств социальной выплаты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подпункте «в» слова «приобретаемое жилое помещение»                           заменить словами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приобретенное жилое помещение, подтверждающие                      факт государственной регистрации перехода права собственности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на жилое помещение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заявителю, а также обременение права собственности                                         в пользу продавца жилого помещения до исполнения обязательств                                          по договору купли-продажи 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илого помещения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 12 дополнить абзацами третьим и четвертым                         следующего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 случае если в течение десяти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 поступления                           от заявителя документов, предусмотренных пунктом 11 настоящего Порядка, в департамент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поступили документы (сведения), предусмотренные подпунктами «в» и «г» 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кта 10 настоящего Порядка, запрашиваемые                              в порядке межведомственного информационн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 взаимодействия,                          принятие одного из решений, указанных в пункте 13 настоящего Порядка, приостанавливается до получения всех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сведений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                                            но не более чем на двадцать рабочих дней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дня поступления от заявителя документов, предусмотренных пунктом 11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письменное уведомление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приостановлении принятия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одного из решений, указанных в пункте 13 настоящего Порядка,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двух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рабочих дней со дня принятия                            такого решения с указанием оснований приостановления.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Настоящее постановление вступает в силу после дня                                                его официального опубликования.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contextualSpacing w:val="0"/>
        <w:jc w:val="both"/>
        <w:spacing w:after="0" w:line="240" w:lineRule="auto"/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4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4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4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4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4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4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4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4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4"/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04"/>
        <w:ind w:left="675" w:hanging="675"/>
      </w:pPr>
    </w:lvl>
    <w:lvl w:ilvl="1">
      <w:start w:val="1"/>
      <w:numFmt w:val="decimal"/>
      <w:isLgl w:val="false"/>
      <w:suff w:val="tab"/>
      <w:lvlText w:val="%1.%2"/>
      <w:lvlJc w:val="left"/>
      <w:pPr>
        <w:pStyle w:val="904"/>
        <w:ind w:left="1029" w:hanging="6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904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04"/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04"/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04"/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04"/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04"/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04"/>
        <w:ind w:left="499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5">
    <w:name w:val="Основной шрифт абзаца"/>
    <w:next w:val="905"/>
    <w:link w:val="904"/>
    <w:uiPriority w:val="1"/>
    <w:semiHidden/>
    <w:unhideWhenUsed/>
  </w:style>
  <w:style w:type="table" w:styleId="906">
    <w:name w:val="Обычная таблица"/>
    <w:next w:val="906"/>
    <w:link w:val="904"/>
    <w:uiPriority w:val="99"/>
    <w:semiHidden/>
    <w:unhideWhenUsed/>
    <w:tblPr/>
  </w:style>
  <w:style w:type="numbering" w:styleId="907">
    <w:name w:val="Нет списка"/>
    <w:next w:val="907"/>
    <w:link w:val="904"/>
    <w:uiPriority w:val="99"/>
    <w:semiHidden/>
    <w:unhideWhenUsed/>
  </w:style>
  <w:style w:type="paragraph" w:styleId="908">
    <w:name w:val="Верхний колонтитул"/>
    <w:basedOn w:val="904"/>
    <w:next w:val="908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Верхний колонтитул Знак"/>
    <w:next w:val="909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>
    <w:name w:val="Нижний колонтитул"/>
    <w:basedOn w:val="904"/>
    <w:next w:val="910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>
    <w:name w:val="Нижний колонтитул Знак"/>
    <w:next w:val="911"/>
    <w:link w:val="9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>
    <w:name w:val="Абзац списка"/>
    <w:basedOn w:val="904"/>
    <w:next w:val="912"/>
    <w:link w:val="904"/>
    <w:uiPriority w:val="34"/>
    <w:qFormat/>
    <w:pPr>
      <w:contextualSpacing/>
      <w:ind w:left="720"/>
    </w:pPr>
  </w:style>
  <w:style w:type="paragraph" w:styleId="913">
    <w:name w:val="Текст выноски"/>
    <w:basedOn w:val="904"/>
    <w:next w:val="913"/>
    <w:link w:val="9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4">
    <w:name w:val="Текст выноски Знак"/>
    <w:next w:val="914"/>
    <w:link w:val="913"/>
    <w:uiPriority w:val="99"/>
    <w:semiHidden/>
    <w:rPr>
      <w:rFonts w:ascii="Segoe UI" w:hAnsi="Segoe UI" w:cs="Segoe UI"/>
      <w:sz w:val="18"/>
      <w:szCs w:val="18"/>
    </w:rPr>
  </w:style>
  <w:style w:type="paragraph" w:styleId="915">
    <w:name w:val="ConsPlusNormal"/>
    <w:next w:val="915"/>
    <w:link w:val="904"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revision>73</cp:revision>
  <dcterms:created xsi:type="dcterms:W3CDTF">2020-04-08T23:26:00Z</dcterms:created>
  <dcterms:modified xsi:type="dcterms:W3CDTF">2023-05-19T05:35:25Z</dcterms:modified>
  <cp:version>917504</cp:version>
</cp:coreProperties>
</file>